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F9" w:rsidRDefault="00B65901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四川能投物资产业集团有限公司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经营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管理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部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拟采取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单一来源采购方式征求意见公示</w:t>
      </w:r>
    </w:p>
    <w:p w:rsidR="00872FF9" w:rsidRDefault="00872FF9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 w:rsidR="00872FF9" w:rsidRDefault="00B65901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bookmarkStart w:id="0" w:name="_GoBack"/>
      <w:r>
        <w:rPr>
          <w:rFonts w:ascii="宋体" w:hAnsi="宋体" w:cs="宋体" w:hint="eastAsia"/>
          <w:kern w:val="0"/>
          <w:sz w:val="32"/>
          <w:szCs w:val="32"/>
        </w:rPr>
        <w:t>各潜在供应商；</w:t>
      </w:r>
    </w:p>
    <w:p w:rsidR="00872FF9" w:rsidRDefault="00B65901">
      <w:pPr>
        <w:widowControl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四川能投物资产业集团有限公司</w:t>
      </w:r>
      <w:r>
        <w:rPr>
          <w:rFonts w:ascii="宋体" w:hAnsi="宋体" w:cs="宋体" w:hint="eastAsia"/>
          <w:sz w:val="32"/>
          <w:szCs w:val="32"/>
        </w:rPr>
        <w:t>201</w:t>
      </w:r>
      <w:r>
        <w:rPr>
          <w:rFonts w:ascii="宋体" w:hAnsi="宋体" w:cs="宋体" w:hint="eastAsia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</w:rPr>
        <w:t>新增</w:t>
      </w:r>
      <w:r>
        <w:rPr>
          <w:rFonts w:ascii="宋体" w:hAnsi="宋体" w:cs="宋体" w:hint="eastAsia"/>
          <w:sz w:val="32"/>
          <w:szCs w:val="32"/>
        </w:rPr>
        <w:t>农网</w:t>
      </w:r>
      <w:r>
        <w:rPr>
          <w:rFonts w:ascii="宋体" w:hAnsi="宋体" w:cs="宋体" w:hint="eastAsia"/>
          <w:sz w:val="32"/>
          <w:szCs w:val="32"/>
        </w:rPr>
        <w:t>35kV</w:t>
      </w:r>
      <w:r>
        <w:rPr>
          <w:rFonts w:ascii="宋体" w:hAnsi="宋体" w:cs="宋体" w:hint="eastAsia"/>
          <w:sz w:val="32"/>
          <w:szCs w:val="32"/>
        </w:rPr>
        <w:t>及以上项目</w:t>
      </w:r>
      <w:r>
        <w:rPr>
          <w:rFonts w:ascii="宋体" w:hAnsi="宋体" w:cs="宋体" w:hint="eastAsia"/>
          <w:sz w:val="32"/>
          <w:szCs w:val="32"/>
        </w:rPr>
        <w:t>EPC</w:t>
      </w:r>
      <w:r>
        <w:rPr>
          <w:rFonts w:ascii="宋体" w:hAnsi="宋体" w:cs="宋体" w:hint="eastAsia"/>
          <w:sz w:val="32"/>
          <w:szCs w:val="32"/>
        </w:rPr>
        <w:t>四标段余</w:t>
      </w:r>
      <w:proofErr w:type="gramStart"/>
      <w:r>
        <w:rPr>
          <w:rFonts w:ascii="宋体" w:hAnsi="宋体" w:cs="宋体" w:hint="eastAsia"/>
          <w:sz w:val="32"/>
          <w:szCs w:val="32"/>
        </w:rPr>
        <w:t>箐</w:t>
      </w:r>
      <w:proofErr w:type="gramEnd"/>
      <w:r>
        <w:rPr>
          <w:rFonts w:ascii="宋体" w:hAnsi="宋体" w:cs="宋体" w:hint="eastAsia"/>
          <w:sz w:val="32"/>
          <w:szCs w:val="32"/>
        </w:rPr>
        <w:t>至莲花</w:t>
      </w:r>
      <w:r>
        <w:rPr>
          <w:rFonts w:ascii="宋体" w:hAnsi="宋体" w:cs="宋体" w:hint="eastAsia"/>
          <w:sz w:val="32"/>
          <w:szCs w:val="32"/>
        </w:rPr>
        <w:t>110kV</w:t>
      </w:r>
      <w:r>
        <w:rPr>
          <w:rFonts w:ascii="宋体" w:hAnsi="宋体" w:cs="宋体" w:hint="eastAsia"/>
          <w:sz w:val="32"/>
          <w:szCs w:val="32"/>
        </w:rPr>
        <w:t>输电线路新建工程</w:t>
      </w:r>
      <w:r>
        <w:rPr>
          <w:rFonts w:ascii="宋体" w:hAnsi="宋体" w:cs="宋体" w:hint="eastAsia"/>
          <w:sz w:val="32"/>
          <w:szCs w:val="32"/>
        </w:rPr>
        <w:t>通信设备</w:t>
      </w:r>
      <w:r>
        <w:rPr>
          <w:rFonts w:ascii="宋体" w:hAnsi="宋体" w:cs="宋体" w:hint="eastAsia"/>
          <w:kern w:val="0"/>
          <w:sz w:val="32"/>
          <w:szCs w:val="32"/>
        </w:rPr>
        <w:t>采购项目</w:t>
      </w:r>
      <w:r>
        <w:rPr>
          <w:rFonts w:ascii="宋体" w:hAnsi="宋体" w:cs="宋体" w:hint="eastAsia"/>
          <w:kern w:val="0"/>
          <w:sz w:val="32"/>
          <w:szCs w:val="32"/>
        </w:rPr>
        <w:t>应</w:t>
      </w:r>
      <w:r>
        <w:rPr>
          <w:rFonts w:ascii="宋体" w:hAnsi="宋体" w:cs="宋体" w:hint="eastAsia"/>
          <w:kern w:val="0"/>
          <w:sz w:val="32"/>
          <w:szCs w:val="32"/>
        </w:rPr>
        <w:t>四川能投兴</w:t>
      </w:r>
      <w:proofErr w:type="gramStart"/>
      <w:r>
        <w:rPr>
          <w:rFonts w:ascii="宋体" w:hAnsi="宋体" w:cs="宋体" w:hint="eastAsia"/>
          <w:kern w:val="0"/>
          <w:sz w:val="32"/>
          <w:szCs w:val="32"/>
        </w:rPr>
        <w:t>文电力</w:t>
      </w:r>
      <w:proofErr w:type="gramEnd"/>
      <w:r>
        <w:rPr>
          <w:rFonts w:ascii="宋体" w:hAnsi="宋体" w:cs="宋体" w:hint="eastAsia"/>
          <w:kern w:val="0"/>
          <w:sz w:val="32"/>
          <w:szCs w:val="32"/>
        </w:rPr>
        <w:t>有限公司</w:t>
      </w:r>
      <w:r>
        <w:rPr>
          <w:rFonts w:ascii="宋体" w:hAnsi="宋体" w:cs="宋体" w:hint="eastAsia"/>
          <w:kern w:val="0"/>
          <w:sz w:val="32"/>
          <w:szCs w:val="32"/>
        </w:rPr>
        <w:t>要求，为提高系统兼容性和可靠性，并方便该公司已投运设备的运行管理及检修维护</w:t>
      </w:r>
      <w:r>
        <w:rPr>
          <w:rFonts w:ascii="宋体" w:hAnsi="宋体" w:cs="宋体" w:hint="eastAsia"/>
          <w:kern w:val="0"/>
          <w:sz w:val="32"/>
          <w:szCs w:val="32"/>
        </w:rPr>
        <w:t>，</w:t>
      </w:r>
      <w:r>
        <w:rPr>
          <w:rFonts w:ascii="宋体" w:hAnsi="宋体" w:cs="宋体" w:hint="eastAsia"/>
          <w:kern w:val="0"/>
          <w:sz w:val="32"/>
          <w:szCs w:val="32"/>
        </w:rPr>
        <w:t>本次</w:t>
      </w:r>
      <w:r>
        <w:rPr>
          <w:rFonts w:ascii="宋体" w:hAnsi="宋体" w:cs="宋体" w:hint="eastAsia"/>
          <w:kern w:val="0"/>
          <w:sz w:val="32"/>
          <w:szCs w:val="32"/>
        </w:rPr>
        <w:t>拟采取单一来源采购方式采购。单一来源供应商名称</w:t>
      </w:r>
      <w:r>
        <w:rPr>
          <w:rFonts w:ascii="宋体" w:hAnsi="宋体" w:cs="宋体" w:hint="eastAsia"/>
          <w:kern w:val="0"/>
          <w:sz w:val="32"/>
          <w:szCs w:val="32"/>
        </w:rPr>
        <w:t>为</w:t>
      </w:r>
      <w:r>
        <w:rPr>
          <w:rFonts w:ascii="宋体" w:hAnsi="宋体" w:cs="宋体" w:hint="eastAsia"/>
          <w:kern w:val="0"/>
          <w:sz w:val="32"/>
          <w:szCs w:val="32"/>
        </w:rPr>
        <w:t>四川梦达科技有限</w:t>
      </w:r>
      <w:r>
        <w:rPr>
          <w:rFonts w:ascii="宋体" w:hAnsi="宋体" w:cs="宋体" w:hint="eastAsia"/>
          <w:kern w:val="0"/>
          <w:sz w:val="32"/>
          <w:szCs w:val="32"/>
        </w:rPr>
        <w:t>责任</w:t>
      </w:r>
      <w:r>
        <w:rPr>
          <w:rFonts w:ascii="宋体" w:hAnsi="宋体" w:cs="宋体" w:hint="eastAsia"/>
          <w:kern w:val="0"/>
          <w:sz w:val="32"/>
          <w:szCs w:val="32"/>
        </w:rPr>
        <w:t>公司，</w:t>
      </w:r>
      <w:r>
        <w:rPr>
          <w:rFonts w:ascii="宋体" w:hAnsi="宋体" w:cs="宋体" w:hint="eastAsia"/>
          <w:kern w:val="0"/>
          <w:sz w:val="32"/>
          <w:szCs w:val="32"/>
        </w:rPr>
        <w:t>产品（货物、工程和服务）名称</w:t>
      </w:r>
      <w:r>
        <w:rPr>
          <w:rFonts w:ascii="宋体" w:hAnsi="宋体" w:cs="宋体" w:hint="eastAsia"/>
          <w:kern w:val="0"/>
          <w:sz w:val="32"/>
          <w:szCs w:val="32"/>
        </w:rPr>
        <w:t>是</w:t>
      </w:r>
      <w:r>
        <w:rPr>
          <w:rFonts w:ascii="宋体" w:hAnsi="宋体" w:cs="宋体" w:hint="eastAsia"/>
          <w:kern w:val="0"/>
          <w:sz w:val="32"/>
          <w:szCs w:val="32"/>
        </w:rPr>
        <w:t>通信设备。</w:t>
      </w:r>
      <w:r>
        <w:rPr>
          <w:rFonts w:ascii="宋体" w:hAnsi="宋体" w:cs="宋体" w:hint="eastAsia"/>
          <w:kern w:val="0"/>
          <w:sz w:val="32"/>
          <w:szCs w:val="32"/>
        </w:rPr>
        <w:t>现就此事项向</w:t>
      </w:r>
      <w:proofErr w:type="gramStart"/>
      <w:r>
        <w:rPr>
          <w:rFonts w:ascii="宋体" w:hAnsi="宋体" w:cs="宋体" w:hint="eastAsia"/>
          <w:kern w:val="0"/>
          <w:sz w:val="32"/>
          <w:szCs w:val="32"/>
        </w:rPr>
        <w:t>潜在政府</w:t>
      </w:r>
      <w:proofErr w:type="gramEnd"/>
      <w:r>
        <w:rPr>
          <w:rFonts w:ascii="宋体" w:hAnsi="宋体" w:cs="宋体" w:hint="eastAsia"/>
          <w:kern w:val="0"/>
          <w:sz w:val="32"/>
          <w:szCs w:val="32"/>
        </w:rPr>
        <w:t>采购供应</w:t>
      </w:r>
      <w:proofErr w:type="gramStart"/>
      <w:r>
        <w:rPr>
          <w:rFonts w:ascii="宋体" w:hAnsi="宋体" w:cs="宋体" w:hint="eastAsia"/>
          <w:kern w:val="0"/>
          <w:sz w:val="32"/>
          <w:szCs w:val="32"/>
        </w:rPr>
        <w:t>商广泛</w:t>
      </w:r>
      <w:proofErr w:type="gramEnd"/>
      <w:r>
        <w:rPr>
          <w:rFonts w:ascii="宋体" w:hAnsi="宋体" w:cs="宋体" w:hint="eastAsia"/>
          <w:kern w:val="0"/>
          <w:sz w:val="32"/>
          <w:szCs w:val="32"/>
        </w:rPr>
        <w:t>征求意见。征求意见期限从</w:t>
      </w:r>
      <w:r>
        <w:rPr>
          <w:rFonts w:ascii="宋体" w:hAnsi="宋体" w:cs="宋体" w:hint="eastAsia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年</w:t>
      </w:r>
      <w:r>
        <w:rPr>
          <w:rFonts w:ascii="宋体" w:hAnsi="宋体" w:cs="宋体" w:hint="eastAsia"/>
          <w:kern w:val="0"/>
          <w:sz w:val="32"/>
          <w:szCs w:val="32"/>
        </w:rPr>
        <w:t>5</w:t>
      </w:r>
      <w:r>
        <w:rPr>
          <w:rFonts w:ascii="宋体" w:hAnsi="宋体" w:cs="宋体" w:hint="eastAsia"/>
          <w:kern w:val="0"/>
          <w:sz w:val="32"/>
          <w:szCs w:val="32"/>
        </w:rPr>
        <w:t>月</w:t>
      </w:r>
      <w:r>
        <w:rPr>
          <w:rFonts w:ascii="宋体" w:hAnsi="宋体" w:cs="宋体" w:hint="eastAsia"/>
          <w:kern w:val="0"/>
          <w:sz w:val="32"/>
          <w:szCs w:val="32"/>
        </w:rPr>
        <w:t>24</w:t>
      </w:r>
      <w:r>
        <w:rPr>
          <w:rFonts w:ascii="宋体" w:hAnsi="宋体" w:cs="宋体" w:hint="eastAsia"/>
          <w:kern w:val="0"/>
          <w:sz w:val="32"/>
          <w:szCs w:val="32"/>
        </w:rPr>
        <w:t>日起至</w:t>
      </w:r>
      <w:r>
        <w:rPr>
          <w:rFonts w:ascii="宋体" w:hAnsi="宋体" w:cs="宋体" w:hint="eastAsia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年</w:t>
      </w:r>
      <w:r>
        <w:rPr>
          <w:rFonts w:ascii="宋体" w:hAnsi="宋体" w:cs="宋体" w:hint="eastAsia"/>
          <w:kern w:val="0"/>
          <w:sz w:val="32"/>
          <w:szCs w:val="32"/>
        </w:rPr>
        <w:t>5</w:t>
      </w:r>
      <w:r>
        <w:rPr>
          <w:rFonts w:ascii="宋体" w:hAnsi="宋体" w:cs="宋体" w:hint="eastAsia"/>
          <w:kern w:val="0"/>
          <w:sz w:val="32"/>
          <w:szCs w:val="32"/>
        </w:rPr>
        <w:t>月</w:t>
      </w:r>
      <w:r>
        <w:rPr>
          <w:rFonts w:ascii="宋体" w:hAnsi="宋体" w:cs="宋体" w:hint="eastAsia"/>
          <w:kern w:val="0"/>
          <w:sz w:val="32"/>
          <w:szCs w:val="32"/>
        </w:rPr>
        <w:t>27</w:t>
      </w:r>
      <w:r>
        <w:rPr>
          <w:rFonts w:ascii="宋体" w:hAnsi="宋体" w:cs="宋体" w:hint="eastAsia"/>
          <w:kern w:val="0"/>
          <w:sz w:val="32"/>
          <w:szCs w:val="32"/>
        </w:rPr>
        <w:t>日止。</w:t>
      </w:r>
    </w:p>
    <w:p w:rsidR="00872FF9" w:rsidRDefault="00B65901">
      <w:pPr>
        <w:widowControl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希望潜在供应商提出有效的意见，并最迟在公示期满后两个工作日内将意见以书面形式反馈至</w:t>
      </w:r>
      <w:r>
        <w:rPr>
          <w:rFonts w:ascii="宋体" w:hAnsi="宋体" w:cs="宋体" w:hint="eastAsia"/>
          <w:kern w:val="0"/>
          <w:sz w:val="32"/>
          <w:szCs w:val="32"/>
        </w:rPr>
        <w:t>四川能投物资产业集团有限公司</w:t>
      </w:r>
      <w:r>
        <w:rPr>
          <w:rFonts w:ascii="宋体" w:hAnsi="宋体" w:cs="宋体" w:hint="eastAsia"/>
          <w:kern w:val="0"/>
          <w:sz w:val="32"/>
          <w:szCs w:val="32"/>
        </w:rPr>
        <w:t>经营管理</w:t>
      </w:r>
      <w:r>
        <w:rPr>
          <w:rFonts w:ascii="宋体" w:hAnsi="宋体" w:cs="宋体" w:hint="eastAsia"/>
          <w:kern w:val="0"/>
          <w:sz w:val="32"/>
          <w:szCs w:val="32"/>
        </w:rPr>
        <w:t>部</w:t>
      </w:r>
      <w:r>
        <w:rPr>
          <w:rFonts w:ascii="宋体" w:hAnsi="宋体" w:cs="宋体" w:hint="eastAsia"/>
          <w:kern w:val="0"/>
          <w:sz w:val="32"/>
          <w:szCs w:val="32"/>
        </w:rPr>
        <w:t>，地址：</w:t>
      </w:r>
      <w:r>
        <w:rPr>
          <w:rFonts w:ascii="宋体" w:hAnsi="宋体" w:cs="宋体" w:hint="eastAsia"/>
          <w:kern w:val="0"/>
          <w:sz w:val="32"/>
          <w:szCs w:val="32"/>
        </w:rPr>
        <w:t>成都市航空路</w:t>
      </w:r>
      <w:r>
        <w:rPr>
          <w:rFonts w:ascii="宋体" w:hAnsi="宋体" w:cs="宋体" w:hint="eastAsia"/>
          <w:kern w:val="0"/>
          <w:sz w:val="32"/>
          <w:szCs w:val="32"/>
        </w:rPr>
        <w:t>1</w:t>
      </w:r>
      <w:r>
        <w:rPr>
          <w:rFonts w:ascii="宋体" w:hAnsi="宋体" w:cs="宋体" w:hint="eastAsia"/>
          <w:kern w:val="0"/>
          <w:sz w:val="32"/>
          <w:szCs w:val="32"/>
        </w:rPr>
        <w:t>号国航世纪中心</w:t>
      </w:r>
      <w:r>
        <w:rPr>
          <w:rFonts w:ascii="宋体" w:hAnsi="宋体" w:cs="宋体" w:hint="eastAsia"/>
          <w:kern w:val="0"/>
          <w:sz w:val="32"/>
          <w:szCs w:val="32"/>
        </w:rPr>
        <w:t>A</w:t>
      </w:r>
      <w:r>
        <w:rPr>
          <w:rFonts w:ascii="宋体" w:hAnsi="宋体" w:cs="宋体" w:hint="eastAsia"/>
          <w:kern w:val="0"/>
          <w:sz w:val="32"/>
          <w:szCs w:val="32"/>
        </w:rPr>
        <w:t>座</w:t>
      </w:r>
      <w:r>
        <w:rPr>
          <w:rFonts w:ascii="宋体" w:hAnsi="宋体" w:cs="宋体" w:hint="eastAsia"/>
          <w:kern w:val="0"/>
          <w:sz w:val="32"/>
          <w:szCs w:val="32"/>
        </w:rPr>
        <w:t>6</w:t>
      </w:r>
      <w:r>
        <w:rPr>
          <w:rFonts w:ascii="宋体" w:hAnsi="宋体" w:cs="宋体" w:hint="eastAsia"/>
          <w:kern w:val="0"/>
          <w:sz w:val="32"/>
          <w:szCs w:val="32"/>
        </w:rPr>
        <w:t>楼</w:t>
      </w:r>
      <w:r>
        <w:rPr>
          <w:rFonts w:ascii="宋体" w:hAnsi="宋体" w:cs="宋体" w:hint="eastAsia"/>
          <w:kern w:val="0"/>
          <w:sz w:val="32"/>
          <w:szCs w:val="32"/>
        </w:rPr>
        <w:t>，联系人：</w:t>
      </w:r>
      <w:r>
        <w:rPr>
          <w:rFonts w:ascii="宋体" w:hAnsi="宋体" w:cs="宋体" w:hint="eastAsia"/>
          <w:kern w:val="0"/>
          <w:sz w:val="32"/>
          <w:szCs w:val="32"/>
        </w:rPr>
        <w:t>何</w:t>
      </w:r>
      <w:r>
        <w:rPr>
          <w:rFonts w:ascii="宋体" w:hAnsi="宋体" w:cs="宋体" w:hint="eastAsia"/>
          <w:kern w:val="0"/>
          <w:sz w:val="32"/>
          <w:szCs w:val="32"/>
        </w:rPr>
        <w:t>先生</w:t>
      </w:r>
      <w:r>
        <w:rPr>
          <w:rFonts w:ascii="宋体" w:hAnsi="宋体" w:cs="宋体" w:hint="eastAsia"/>
          <w:kern w:val="0"/>
          <w:sz w:val="32"/>
          <w:szCs w:val="32"/>
        </w:rPr>
        <w:t>，联系电话：</w:t>
      </w:r>
      <w:r>
        <w:rPr>
          <w:rFonts w:ascii="宋体" w:hAnsi="宋体" w:cs="宋体" w:hint="eastAsia"/>
          <w:kern w:val="0"/>
          <w:sz w:val="32"/>
          <w:szCs w:val="32"/>
        </w:rPr>
        <w:t>028-</w:t>
      </w:r>
      <w:r>
        <w:rPr>
          <w:rFonts w:ascii="宋体" w:hAnsi="宋体" w:cs="宋体" w:hint="eastAsia"/>
          <w:kern w:val="0"/>
          <w:sz w:val="32"/>
          <w:szCs w:val="32"/>
        </w:rPr>
        <w:t>85273505</w:t>
      </w:r>
      <w:r>
        <w:rPr>
          <w:rFonts w:ascii="宋体" w:hAnsi="宋体" w:cs="宋体" w:hint="eastAsia"/>
          <w:kern w:val="0"/>
          <w:sz w:val="32"/>
          <w:szCs w:val="32"/>
        </w:rPr>
        <w:t>。</w:t>
      </w:r>
    </w:p>
    <w:p w:rsidR="00872FF9" w:rsidRDefault="00872FF9">
      <w:pPr>
        <w:widowControl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:rsidR="00872FF9" w:rsidRDefault="00B65901">
      <w:pPr>
        <w:widowControl/>
        <w:ind w:firstLineChars="1700" w:firstLine="54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</w:t>
      </w:r>
    </w:p>
    <w:p w:rsidR="00872FF9" w:rsidRDefault="00B65901">
      <w:pPr>
        <w:widowControl/>
        <w:ind w:firstLineChars="1550" w:firstLine="496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年</w:t>
      </w:r>
      <w:r>
        <w:rPr>
          <w:rFonts w:ascii="宋体" w:hAnsi="宋体" w:cs="宋体" w:hint="eastAsia"/>
          <w:kern w:val="0"/>
          <w:sz w:val="32"/>
          <w:szCs w:val="32"/>
        </w:rPr>
        <w:t>5</w:t>
      </w:r>
      <w:r>
        <w:rPr>
          <w:rFonts w:ascii="宋体" w:hAnsi="宋体" w:cs="宋体" w:hint="eastAsia"/>
          <w:kern w:val="0"/>
          <w:sz w:val="32"/>
          <w:szCs w:val="32"/>
        </w:rPr>
        <w:t>月</w:t>
      </w:r>
      <w:r>
        <w:rPr>
          <w:rFonts w:ascii="宋体" w:hAnsi="宋体" w:cs="宋体" w:hint="eastAsia"/>
          <w:kern w:val="0"/>
          <w:sz w:val="32"/>
          <w:szCs w:val="32"/>
        </w:rPr>
        <w:t>24</w:t>
      </w:r>
      <w:r>
        <w:rPr>
          <w:rFonts w:ascii="宋体" w:hAnsi="宋体" w:cs="宋体" w:hint="eastAsia"/>
          <w:kern w:val="0"/>
          <w:sz w:val="32"/>
          <w:szCs w:val="32"/>
        </w:rPr>
        <w:t>日</w:t>
      </w:r>
    </w:p>
    <w:bookmarkEnd w:id="0"/>
    <w:p w:rsidR="00872FF9" w:rsidRDefault="00B65901">
      <w:r>
        <w:br w:type="page"/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934"/>
        <w:gridCol w:w="2263"/>
        <w:gridCol w:w="2818"/>
        <w:gridCol w:w="613"/>
        <w:gridCol w:w="613"/>
        <w:gridCol w:w="1281"/>
      </w:tblGrid>
      <w:tr w:rsidR="00872FF9">
        <w:trPr>
          <w:trHeight w:val="379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tabs>
                <w:tab w:val="left" w:pos="3350"/>
              </w:tabs>
              <w:jc w:val="center"/>
              <w:rPr>
                <w:rFonts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201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新增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农网改造升级工程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35kV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及以上项目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EPC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总承包四标段设备及主要材料采购清单</w:t>
            </w:r>
          </w:p>
        </w:tc>
      </w:tr>
      <w:tr w:rsidR="00872FF9">
        <w:trPr>
          <w:trHeight w:val="37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型号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872FF9">
        <w:trPr>
          <w:trHeight w:val="27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余</w:t>
            </w:r>
            <w:proofErr w:type="gramStart"/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箐</w:t>
            </w:r>
            <w:proofErr w:type="gramEnd"/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变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5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光接口板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L-16.2*1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（对莲花变），与现有地调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10G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平台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SDH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传输设备配套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7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光纤配线模块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48</w:t>
            </w:r>
            <w:proofErr w:type="gramStart"/>
            <w:r>
              <w:rPr>
                <w:rFonts w:hAnsi="宋体" w:cs="宋体" w:hint="eastAsia"/>
                <w:kern w:val="0"/>
                <w:sz w:val="20"/>
                <w:szCs w:val="20"/>
              </w:rPr>
              <w:t>芯熔配一体</w:t>
            </w:r>
            <w:proofErr w:type="gramEnd"/>
            <w:r>
              <w:rPr>
                <w:rFonts w:hAnsi="宋体" w:cs="宋体" w:hint="eastAsia"/>
                <w:kern w:val="0"/>
                <w:sz w:val="20"/>
                <w:szCs w:val="20"/>
              </w:rPr>
              <w:t>单元，含储</w:t>
            </w:r>
            <w:proofErr w:type="gramStart"/>
            <w:r>
              <w:rPr>
                <w:rFonts w:hAnsi="宋体" w:cs="宋体" w:hint="eastAsia"/>
                <w:kern w:val="0"/>
                <w:sz w:val="20"/>
                <w:szCs w:val="20"/>
              </w:rPr>
              <w:t>纤</w:t>
            </w:r>
            <w:proofErr w:type="gramEnd"/>
            <w:r>
              <w:rPr>
                <w:rFonts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7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莲花变</w:t>
            </w: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地网设备）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地网设备</w:t>
            </w:r>
          </w:p>
        </w:tc>
      </w:tr>
      <w:tr w:rsidR="00872FF9">
        <w:trPr>
          <w:trHeight w:val="4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SDH</w:t>
            </w: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光传输设备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10G</w:t>
            </w: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平台，含以下：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华为</w:t>
            </w: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OSN3500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地调光通信设备屏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英寸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2260(H)*600(W)*600(D)mm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面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9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III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型子架</w:t>
            </w:r>
            <w:proofErr w:type="gram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含背板、控制板、公务等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框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系统控制与通信板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超级交叉时钟板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系统辅助接口板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200G 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交叉容量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电源接口板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STM-16 </w:t>
            </w:r>
            <w:r>
              <w:rPr>
                <w:rFonts w:hAnsi="宋体" w:cs="Arial" w:hint="eastAsia"/>
                <w:kern w:val="0"/>
                <w:sz w:val="18"/>
                <w:szCs w:val="18"/>
              </w:rPr>
              <w:t>光接口板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(L-16.2,LC)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L-16.2*1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63xE1</w:t>
            </w:r>
            <w:r>
              <w:rPr>
                <w:rFonts w:hAnsi="宋体" w:cs="Arial" w:hint="eastAsia"/>
                <w:kern w:val="0"/>
                <w:sz w:val="18"/>
                <w:szCs w:val="18"/>
              </w:rPr>
              <w:t>业务处理板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(75</w:t>
            </w:r>
            <w:r>
              <w:rPr>
                <w:rFonts w:hAnsi="宋体" w:cs="Arial" w:hint="eastAsia"/>
                <w:kern w:val="0"/>
                <w:sz w:val="18"/>
                <w:szCs w:val="18"/>
              </w:rPr>
              <w:t>欧姆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×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2M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PQ1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32xE1/T1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电接口倒换出线板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(75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欧姆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路带交换功能的快速以太网处理板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路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10M/100M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快速以太网双绞线接口板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风扇单元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光衰减器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5db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55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安装材料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包含：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基础软件包、中继电缆、电源电缆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4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PCM</w:t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智能接入设备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每套含以下：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梦达</w:t>
            </w: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MDP-30D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子框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2M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含余</w:t>
            </w:r>
            <w:proofErr w:type="gramStart"/>
            <w:r>
              <w:rPr>
                <w:rFonts w:hAnsi="宋体" w:cs="宋体" w:hint="eastAsia"/>
                <w:kern w:val="0"/>
                <w:sz w:val="20"/>
                <w:szCs w:val="20"/>
              </w:rPr>
              <w:t>箐</w:t>
            </w:r>
            <w:proofErr w:type="gramEnd"/>
            <w:r>
              <w:rPr>
                <w:rFonts w:hAnsi="宋体" w:cs="宋体" w:hint="eastAsia"/>
                <w:kern w:val="0"/>
                <w:sz w:val="20"/>
                <w:szCs w:val="20"/>
              </w:rPr>
              <w:t>变扩容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块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主控交叉板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DXC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电源板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音频单元（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E/M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二线用户端单元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含余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箐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变扩容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872FF9">
        <w:trPr>
          <w:trHeight w:val="38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数据接口单元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V.24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接口板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含余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箐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变扩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容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安装材料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专用工具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备品备件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综合配线部分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音频配线单元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数字配线单元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16*2M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光纤配线单元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芯熔配一体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跳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纤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、尾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纤</w:t>
            </w:r>
            <w:proofErr w:type="gram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2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综合配线机柜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英寸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2260(H)*600(W)*600(D)mm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面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3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莲花变</w:t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县网设备）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县网设备</w:t>
            </w:r>
          </w:p>
        </w:tc>
      </w:tr>
      <w:tr w:rsidR="00872FF9">
        <w:trPr>
          <w:trHeight w:val="4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SDH</w:t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光传输设备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2.5G</w:t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平台，含以下：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华为</w:t>
            </w: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OSN2500</w:t>
            </w:r>
          </w:p>
        </w:tc>
      </w:tr>
      <w:tr w:rsidR="00872FF9">
        <w:trPr>
          <w:trHeight w:val="25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县网光通信设备屏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英寸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2260(H)*600(W)*600(D)mm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面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5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子架</w:t>
            </w:r>
            <w:proofErr w:type="gram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框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5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系统辅助接口板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5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电源接入板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5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STM-1 </w:t>
            </w:r>
            <w:r>
              <w:rPr>
                <w:rFonts w:hAnsi="宋体" w:cs="Arial" w:hint="eastAsia"/>
                <w:kern w:val="0"/>
                <w:sz w:val="18"/>
                <w:szCs w:val="18"/>
              </w:rPr>
              <w:t>主控交叉光接口合一板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(L-4.1,LC)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5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STM-16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光接口板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(L-16.1,LC)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L-16.1*1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5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32xE1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业务处理板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(75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欧姆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5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路带交换功能的快速以太网处理板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5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32xE1/T1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电接口倒换出线板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(75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欧姆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5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路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10M/100M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快速以太网双绞线接口板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48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安装材料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包含：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基础软件包、中继电缆、电源电缆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5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PCM</w:t>
            </w: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智能接入设备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每套</w:t>
            </w:r>
            <w:proofErr w:type="gramStart"/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含以下</w:t>
            </w:r>
            <w:proofErr w:type="gramEnd"/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设备：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梦达</w:t>
            </w:r>
            <w:r>
              <w:rPr>
                <w:rFonts w:hAnsi="宋体" w:cs="宋体" w:hint="eastAsia"/>
                <w:b/>
                <w:bCs/>
                <w:kern w:val="0"/>
                <w:sz w:val="20"/>
                <w:szCs w:val="20"/>
              </w:rPr>
              <w:t>MDP-30D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子框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2M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含兴文调度扩容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块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主控交叉板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DXC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电源板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音频单元（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E/M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二线用户端单元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含兴文调度扩容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hAnsi="宋体" w:cs="宋体" w:hint="eastAsia"/>
                <w:kern w:val="0"/>
                <w:sz w:val="20"/>
                <w:szCs w:val="20"/>
              </w:rPr>
              <w:t>块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二线交换端单元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kern w:val="0"/>
                <w:sz w:val="20"/>
                <w:szCs w:val="20"/>
              </w:rPr>
              <w:t>兴文调度扩容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数据接口单元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V.24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接口板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含兴文调度扩容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安装材料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专用工具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备品备件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综合配线部分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音频配线单元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含兴文调度扩容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数字配线单元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16*2M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光纤配线单元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芯熔配一体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跳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纤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、尾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纤</w:t>
            </w:r>
            <w:proofErr w:type="gram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72FF9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综合配线机柜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英寸</w:t>
            </w: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2260(H)*600(W)*600(D)mm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面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FF9" w:rsidRDefault="00B65901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72FF9" w:rsidRDefault="00B65901">
      <w:r>
        <w:br w:type="page"/>
      </w:r>
    </w:p>
    <w:p w:rsidR="00872FF9" w:rsidRDefault="00B65901">
      <w:r>
        <w:rPr>
          <w:rFonts w:hint="eastAsia"/>
          <w:noProof/>
        </w:rPr>
        <w:lastRenderedPageBreak/>
        <w:drawing>
          <wp:inline distT="0" distB="0" distL="114300" distR="114300">
            <wp:extent cx="5273040" cy="7456170"/>
            <wp:effectExtent l="0" t="0" r="3810" b="11430"/>
            <wp:docPr id="18" name="图片 18" descr="C:\Users\lv\Desktop\华为授权委托.jpg华为授权委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lv\Desktop\华为授权委托.jpg华为授权委托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01" w:rsidRDefault="00B65901" w:rsidP="00821C76">
      <w:r>
        <w:separator/>
      </w:r>
    </w:p>
  </w:endnote>
  <w:endnote w:type="continuationSeparator" w:id="0">
    <w:p w:rsidR="00B65901" w:rsidRDefault="00B65901" w:rsidP="0082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01" w:rsidRDefault="00B65901" w:rsidP="00821C76">
      <w:r>
        <w:separator/>
      </w:r>
    </w:p>
  </w:footnote>
  <w:footnote w:type="continuationSeparator" w:id="0">
    <w:p w:rsidR="00B65901" w:rsidRDefault="00B65901" w:rsidP="0082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D4571"/>
    <w:rsid w:val="00821C76"/>
    <w:rsid w:val="00872FF9"/>
    <w:rsid w:val="00B65901"/>
    <w:rsid w:val="20257F64"/>
    <w:rsid w:val="2D1E01B3"/>
    <w:rsid w:val="48254B4C"/>
    <w:rsid w:val="53FA586D"/>
    <w:rsid w:val="72A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821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1C7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21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1C7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821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1C7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21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1C7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哆_咪</dc:creator>
  <cp:lastModifiedBy>唐舒</cp:lastModifiedBy>
  <cp:revision>2</cp:revision>
  <dcterms:created xsi:type="dcterms:W3CDTF">2019-05-24T09:13:00Z</dcterms:created>
  <dcterms:modified xsi:type="dcterms:W3CDTF">2019-05-24T09:13:00Z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