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rFonts w:hint="eastAsia" w:ascii="方正小标宋简体" w:hAnsi="宋体" w:eastAsia="方正小标宋简体" w:cs="方正小标宋简体"/>
          <w:sz w:val="36"/>
          <w:szCs w:val="44"/>
        </w:rPr>
      </w:pPr>
      <w:r>
        <w:rPr>
          <w:rFonts w:ascii="方正小标宋简体" w:hAnsi="宋体" w:eastAsia="方正小标宋简体" w:cs="方正小标宋简体"/>
          <w:sz w:val="36"/>
          <w:szCs w:val="44"/>
        </w:rPr>
        <w:t>附件</w:t>
      </w:r>
      <w:r>
        <w:rPr>
          <w:rFonts w:hint="eastAsia" w:ascii="方正小标宋简体" w:hAnsi="宋体" w:eastAsia="方正小标宋简体" w:cs="方正小标宋简体"/>
          <w:sz w:val="36"/>
          <w:szCs w:val="44"/>
        </w:rPr>
        <w:t>2：四川能投物资产业集团有限公司供应商准入信息登记表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目录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变压器（□220kV、□110kV、□35kV、□10kV）类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变电站总包（□220kV、□110kV、□35kV）类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□断路器（□220kV、□110kV、□35kV、□10kV、□0.4kV及以下）、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□组合电器（指GIS、HGIS等）（□220kV、□110kV、□35kV）、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□隔离开关（□220kV、□110kV、□35kV、□10kV）、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□电流互感器（□220kV、□110kV、□35kV、□10kV）、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□电压互感器（□220kV、□110kV、□35kV、□10kV）、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□跌落开关（□35kV、□10kV）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□消弧线圈及接地变（□110kV、□35kV、□10kV）、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□避雷器（□220kV、□110kV、□35kV、□10kV）类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□开关柜（□35kV、□10kV）、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□箱变（□35kV、□10kV）、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□预装式箱体类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□变电站综合自动化成套设备、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□直流系统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无功补偿装置设备类（□35kV、□10kV、□0.4kV）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□火灾报警系统、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□视频监控系统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通信设备类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集成变电站（□220kV、□110kV、□35kV）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智能变电站（□220kV、□110kV、□35kV）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□导地线、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□电缆（□220kV、□110kV、□35kV、□10kV、□0.4kV）、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□光缆及附件类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电缆附件（□220kV、□110kV、□35kV、□10kV、□0.4kV）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绝缘管母线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金具（□220kV、□110kV、□35kV、□10kV、□0.4kV）类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□铁塔（□220kV、□110kV、□35kV、□10kV）、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□钢管杆（□220kV、□110kV、□35kV、□10kV）、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□钢管塔（□220kV、□110kV、□35kV、□10kV）、</w:t>
      </w:r>
    </w:p>
    <w:p>
      <w:pPr>
        <w:widowControl/>
        <w:spacing w:line="640" w:lineRule="exact"/>
        <w:ind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□铁附件类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□电杆、□水泥制品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绝缘子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电能表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风力发电设备类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□配电箱、□计量箱、□电缆保护管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□管材、□管件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水泥类（指原材料）</w:t>
      </w:r>
    </w:p>
    <w:p>
      <w:pPr>
        <w:widowControl/>
        <w:numPr>
          <w:ilvl w:val="0"/>
          <w:numId w:val="1"/>
        </w:numPr>
        <w:tabs>
          <w:tab w:val="left" w:pos="-21"/>
          <w:tab w:val="clear" w:pos="262"/>
        </w:tabs>
        <w:spacing w:line="640" w:lineRule="exact"/>
        <w:ind w:left="0" w:firstLine="640" w:firstLineChars="200"/>
        <w:jc w:val="left"/>
        <w:rPr>
          <w:rFonts w:ascii="FangSong_GB2312" w:hAnsi="ˎ̥" w:eastAsia="FangSong_GB2312" w:cs="宋体"/>
          <w:color w:val="000000"/>
          <w:kern w:val="0"/>
          <w:sz w:val="32"/>
          <w:szCs w:val="32"/>
        </w:rPr>
      </w:pPr>
      <w:r>
        <w:rPr>
          <w:rFonts w:hint="eastAsia" w:ascii="FangSong_GB2312" w:hAnsi="ˎ̥" w:eastAsia="FangSong_GB2312" w:cs="宋体"/>
          <w:color w:val="000000"/>
          <w:kern w:val="0"/>
          <w:sz w:val="32"/>
          <w:szCs w:val="32"/>
        </w:rPr>
        <w:t>环保耗材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</w:p>
    <w:p>
      <w:pPr>
        <w:widowControl/>
        <w:wordWrap w:val="0"/>
        <w:spacing w:line="360" w:lineRule="auto"/>
        <w:jc w:val="left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（填写示范）</w:t>
      </w:r>
    </w:p>
    <w:p>
      <w:pPr>
        <w:widowControl/>
        <w:wordWrap w:val="0"/>
        <w:spacing w:line="360" w:lineRule="auto"/>
        <w:jc w:val="left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例：</w:t>
      </w:r>
    </w:p>
    <w:p>
      <w:pPr>
        <w:widowControl/>
        <w:wordWrap w:val="0"/>
        <w:spacing w:line="360" w:lineRule="auto"/>
        <w:jc w:val="left"/>
        <w:rPr>
          <w:rFonts w:ascii="黑体" w:hAnsi="宋体" w:eastAsia="黑体" w:cs="黑体"/>
          <w:b/>
          <w:sz w:val="24"/>
          <w:szCs w:val="32"/>
        </w:rPr>
      </w:pPr>
      <w:r>
        <w:rPr>
          <w:rFonts w:hint="eastAsia" w:ascii="黑体" w:hAnsi="宋体" w:eastAsia="黑体" w:cs="黑体"/>
          <w:b/>
          <w:sz w:val="24"/>
          <w:szCs w:val="32"/>
        </w:rPr>
        <w:t>申请供应商：四川能投物资产业集团有限公司</w:t>
      </w:r>
    </w:p>
    <w:p>
      <w:pPr>
        <w:widowControl/>
        <w:wordWrap w:val="0"/>
        <w:spacing w:line="360" w:lineRule="auto"/>
        <w:jc w:val="left"/>
        <w:rPr>
          <w:rFonts w:ascii="黑体" w:hAnsi="宋体" w:eastAsia="黑体" w:cs="黑体"/>
          <w:b/>
          <w:sz w:val="24"/>
          <w:szCs w:val="32"/>
        </w:rPr>
      </w:pPr>
      <w:r>
        <w:rPr>
          <w:rFonts w:hint="eastAsia" w:ascii="黑体" w:hAnsi="宋体" w:eastAsia="黑体" w:cs="黑体"/>
          <w:b/>
          <w:sz w:val="24"/>
          <w:szCs w:val="32"/>
        </w:rPr>
        <w:t>拟申请入库产品：35kV及以下断路器、110kV组合电器、220kV及以下避雷器类</w:t>
      </w:r>
    </w:p>
    <w:p>
      <w:pPr>
        <w:widowControl/>
        <w:wordWrap w:val="0"/>
        <w:spacing w:line="360" w:lineRule="auto"/>
        <w:jc w:val="left"/>
        <w:rPr>
          <w:rFonts w:ascii="黑体" w:hAnsi="宋体" w:eastAsia="黑体" w:cs="黑体"/>
          <w:b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四川能投物资产业集团有限公司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断路器、组合电器、隔离开关、电流互感器、电压互感器、跌落开关、消弧线圈及接地变、避雷器（220kV、110kV、35kV、10kV）类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√断路器（□220kV、□110kV、√35kV、√10kV、√0.4kV）、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√组合电器（□220kV、√110kV、□35kV）、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□隔离开关（□220kV、□110kV、□35kV、□10kV）、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□电流互感器（□220kV、□110kV、□35kV、□10kV）、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□电压互感器（□220kV、□110kV、□35kV、□10kV）、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□跌落开关（□35kV、□10kV）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□消弧线圈及接地变（□110kV、□35kV、□10kV）、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√避雷器（√220kV、√110kV、√35kV、√10kV）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(公司座机需加区号)　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　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30"/>
                <w:szCs w:val="30"/>
                <w:u w:val="single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jc w:val="left"/>
      </w:pPr>
    </w:p>
    <w:p>
      <w:pPr>
        <w:spacing w:line="460" w:lineRule="exact"/>
        <w:jc w:val="center"/>
      </w:pPr>
    </w:p>
    <w:p>
      <w:pPr>
        <w:widowControl/>
        <w:jc w:val="lef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640" w:lineRule="exac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变压器（220kV、110kV、35kV、10kV）类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□220kV、□110kV、□35kV、□10kV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/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640" w:lineRule="exac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变电站总包（220kV、110kV、35kV）类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/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（三）断路器、组合电器、隔离开关、电流互感器、电压互感器、跌落开关、消弧线圈及接地变、避雷器（220kV、110kV、35kV、10kV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0.4kV及以下(针对断路器)）类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□断路器（□220kV、□110kV、□35kV、□10kV、□0.4kV及以下）、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□组合电器（指GIS、HGIS等）（□220kV、□110kV、□35kV）、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□隔离开关（□220kV、□110kV、□35kV、□10kV）、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□电流互感器（□220kV、□110kV、□35kV、□10kV）、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□电压互感器（□220kV、□110kV、□35kV、□10kV）、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□跌落开关（□35kV、□10kV）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□消弧线圈及接地变（□110kV、□35kV、□10kV）、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□避雷器（□220kV、□110kV、□35kV、□10kV）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/>
    <w:p/>
    <w:p/>
    <w:p/>
    <w:p/>
    <w:p/>
    <w:p/>
    <w:p/>
    <w:p/>
    <w:p/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br w:type="page"/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（四）开关柜及箱变（35kV、10kV）、预装式箱体类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□开关柜（□35kV、□10kV）、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□箱变（□35kV、□10kV）、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□预装式箱体类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（五）变电站综合自动化成套设备、直流系统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□变电站综合自动化成套设备、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□直流系统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（六）无功补偿装置设备类（35kV、10kV、0.4kV）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□35kV、□10kV、□0.4kV</w:t>
            </w: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（七）火灾报警系统、视频监控系统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□火灾报警系统、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□视频监控系统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（八）通信设备类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□通信设备类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（九）集成变电站（220kV、110kV、35kV）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（十）智能变电站（220kV、110kV、35kV）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（十一）导地线、电缆、光缆及附件（220kV、110kV、35kV、10kV、0.4kV）类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□导地线、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□电缆（□220kV、□110kV、□35kV、□10kV、□0.4kV）、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□光缆及附件类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（十二）电缆附件（□220kV、□110kV、□35kV、□10kV、□0.4kV）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□220kV、□110kV、□35kV、□10kV、□0.4kV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（十三）绝缘管母线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□绝缘管母线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（十四）金具（220kV、110kV、35kV、10kV、0.4kV）类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□220kV、□110kV、□35kV、□10kV、□0.4kV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（十五）铁塔、钢管杆、钢管塔（220kV、110kV、35kV、10kV）、铁附件类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□铁塔（□220kV、□110kV、□35kV、□10kV）、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□钢管杆（□220kV、□110kV、□35kV、□10kV）、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□钢管塔（□220kV、□110kV、□35kV、□10kV）、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□铁附件类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（十五）铁塔、钢管杆、钢管塔（220kV、110kV、35kV、10kV）、铁附件类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□铁塔（□220kV、□110kV、□35kV、□10kV）、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□钢管杆（□220kV、□110kV、□35kV、□10kV）、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□钢管塔（□220kV、□110kV、□35kV、□10kV）、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□铁附件类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（十六）电杆、水泥制品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□电杆、□水泥制品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（十七）绝缘子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□绝缘子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（十八）电能表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□电能表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（十九）风力发电设备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□风力发电设备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（二十）配电箱、计量箱、电缆保护管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□配电箱、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□计量箱、</w:t>
            </w:r>
          </w:p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□电缆保护管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（二十一）管材、管件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□管材、□管件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 xml:space="preserve"> (二十二)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水泥类（指原材料）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□水泥类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p>
      <w:pPr>
        <w:widowControl/>
        <w:jc w:val="left"/>
      </w:pPr>
      <w:r>
        <w:br w:type="page"/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四川能投物资产业集团有限公司供应商</w:t>
      </w:r>
    </w:p>
    <w:p>
      <w:pPr>
        <w:spacing w:line="4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准入信息登记表</w:t>
      </w:r>
    </w:p>
    <w:tbl>
      <w:tblPr>
        <w:tblStyle w:val="5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72"/>
        <w:gridCol w:w="2044"/>
        <w:gridCol w:w="1743"/>
        <w:gridCol w:w="1276"/>
        <w:gridCol w:w="1089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入库申请人名称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(盖单位章)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申请入库类别：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(二十三)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环保耗材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申请人主要产品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(请勾选大类下项目)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□环保耗材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 xml:space="preserve">(公司座机需加区号) 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(手机) 　</w:t>
            </w:r>
          </w:p>
        </w:tc>
        <w:tc>
          <w:tcPr>
            <w:tcW w:w="108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营业执照编号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（三证合一的请填此项，组织机构代码为空）</w:t>
            </w:r>
          </w:p>
        </w:tc>
        <w:tc>
          <w:tcPr>
            <w:tcW w:w="1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申请人</w:t>
            </w:r>
          </w:p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组织机构代码证编号</w:t>
            </w:r>
          </w:p>
        </w:tc>
        <w:tc>
          <w:tcPr>
            <w:tcW w:w="3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申请条件审查</w:t>
            </w:r>
          </w:p>
        </w:tc>
        <w:tc>
          <w:tcPr>
            <w:tcW w:w="73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30"/>
                <w:szCs w:val="30"/>
              </w:rPr>
              <w:t>（申请人不勾选，仅填写第四项业绩资料名称）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□一、购买人身份证复印件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□二、法人授权书原件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□三、企业营业执照复印件（□三证□一证）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□四、业绩资料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业绩资料名称：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1、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 xml:space="preserve">(请申请人填写资料名称) 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2、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3、</w:t>
            </w: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  <w:u w:val="single"/>
              </w:rPr>
              <w:t>(请申请人填写资料名称)</w:t>
            </w:r>
          </w:p>
          <w:p>
            <w:pPr>
              <w:widowControl/>
              <w:spacing w:line="0" w:lineRule="atLeast"/>
              <w:ind w:firstLine="640" w:firstLineChars="200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□合同□中标通知书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□五、代理授权书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□六、其他要求资料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FangSong_GB2312" w:hAnsi="ˎ̥" w:eastAsia="FangSong_GB2312" w:cs="宋体"/>
                <w:color w:val="000000"/>
                <w:kern w:val="0"/>
                <w:sz w:val="32"/>
                <w:szCs w:val="32"/>
              </w:rPr>
              <w:t>□七、审查意见</w:t>
            </w:r>
          </w:p>
          <w:p>
            <w:pPr>
              <w:widowControl/>
              <w:spacing w:line="0" w:lineRule="atLeast"/>
              <w:jc w:val="left"/>
              <w:rPr>
                <w:rFonts w:ascii="FangSong_GB2312" w:hAnsi="ˎ̥" w:eastAsia="FangSong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FangSong_GB2312" w:hAnsi="宋体" w:eastAsia="FangSong_GB2312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4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auto"/>
    <w:pitch w:val="default"/>
    <w:sig w:usb0="00000003" w:usb1="080E0000" w:usb2="00000010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4301588">
    <w:nsid w:val="41D24E14"/>
    <w:multiLevelType w:val="multilevel"/>
    <w:tmpl w:val="41D24E14"/>
    <w:lvl w:ilvl="0" w:tentative="1">
      <w:start w:val="1"/>
      <w:numFmt w:val="japaneseCounting"/>
      <w:lvlText w:val="(%1)"/>
      <w:lvlJc w:val="left"/>
      <w:pPr>
        <w:tabs>
          <w:tab w:val="left" w:pos="262"/>
        </w:tabs>
        <w:ind w:left="1429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89454335">
    <w:nsid w:val="58C744FF"/>
    <w:multiLevelType w:val="multilevel"/>
    <w:tmpl w:val="58C744FF"/>
    <w:lvl w:ilvl="0" w:tentative="1">
      <w:start w:val="1"/>
      <w:numFmt w:val="japaneseCounting"/>
      <w:lvlText w:val="(%1)"/>
      <w:lvlJc w:val="left"/>
      <w:pPr>
        <w:tabs>
          <w:tab w:val="left" w:pos="262"/>
        </w:tabs>
        <w:ind w:left="1429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89454335"/>
    <w:lvlOverride w:ilvl="0">
      <w:startOverride w:val="1"/>
    </w:lvlOverride>
  </w:num>
  <w:num w:numId="2">
    <w:abstractNumId w:val="11043015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F3603"/>
    <w:rsid w:val="0000304C"/>
    <w:rsid w:val="00072BB4"/>
    <w:rsid w:val="000E45F7"/>
    <w:rsid w:val="002101F5"/>
    <w:rsid w:val="0024083C"/>
    <w:rsid w:val="002D7568"/>
    <w:rsid w:val="00370D44"/>
    <w:rsid w:val="00372FCC"/>
    <w:rsid w:val="0047560F"/>
    <w:rsid w:val="00476E81"/>
    <w:rsid w:val="004E3874"/>
    <w:rsid w:val="004F3603"/>
    <w:rsid w:val="00596958"/>
    <w:rsid w:val="005E00C7"/>
    <w:rsid w:val="005E0F28"/>
    <w:rsid w:val="005F067E"/>
    <w:rsid w:val="00664226"/>
    <w:rsid w:val="006B6E81"/>
    <w:rsid w:val="00751AB7"/>
    <w:rsid w:val="00810D67"/>
    <w:rsid w:val="00834E60"/>
    <w:rsid w:val="00843998"/>
    <w:rsid w:val="009B2F7D"/>
    <w:rsid w:val="009D5A5E"/>
    <w:rsid w:val="009E022F"/>
    <w:rsid w:val="00A34A60"/>
    <w:rsid w:val="00A43F25"/>
    <w:rsid w:val="00A511B3"/>
    <w:rsid w:val="00A86864"/>
    <w:rsid w:val="00AD0A2F"/>
    <w:rsid w:val="00B67CC5"/>
    <w:rsid w:val="00BD01DE"/>
    <w:rsid w:val="00CA2DE8"/>
    <w:rsid w:val="00D76E7D"/>
    <w:rsid w:val="00DF5149"/>
    <w:rsid w:val="00E82627"/>
    <w:rsid w:val="00E84952"/>
    <w:rsid w:val="00EC34FD"/>
    <w:rsid w:val="00F577A0"/>
    <w:rsid w:val="00FB2370"/>
    <w:rsid w:val="00FF2E5D"/>
    <w:rsid w:val="1BEA01E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53</Pages>
  <Words>1759</Words>
  <Characters>10029</Characters>
  <Lines>83</Lines>
  <Paragraphs>23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2017-03-15T06:34:00Z</dcterms:created>
  <dc:creator>邓星</dc:creator>
  <cp:lastModifiedBy>杜秋岑</cp:lastModifiedBy>
  <dcterms:modified xsi:type="dcterms:W3CDTF">2017-03-16T02:25:19Z</dcterms:modified>
  <dc:title>附件2：四川能投物资产业集团有限公司供应商准入信息登记表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